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i/>
          <w:iCs/>
          <w:color w:val="6B7280"/>
          <w:sz w:val="20"/>
          <w:szCs w:val="20"/>
        </w:rPr>
        <w:t xml:space="preserve">Как пользоваться шаблоном: заполните поля в [квадратных скобках], согласуйте с юристом, утвердите приказом (см. шаблон «Приказ о назначении ответственных»), ознакомьте работников под подпись. Серые пояснения курсивом удалите.</w:t>
      </w:r>
    </w:p>
    <w:p>
      <w:pPr>
        <w:spacing w:after="100"/>
        <w:jc w:val="center"/>
      </w:pPr>
      <w:r>
        <w:rPr>
          <w:sz w:val="24"/>
          <w:szCs w:val="24"/>
        </w:rPr>
        <w:t xml:space="preserve">[полное наименование организации]</w:t>
      </w:r>
    </w:p>
    <w:p>
      <w:pPr>
        <w:spacing w:after="0"/>
        <w:jc w:val="right"/>
      </w:pPr>
      <w:r>
        <w:rPr>
          <w:b/>
          <w:bCs/>
          <w:sz w:val="24"/>
          <w:szCs w:val="24"/>
        </w:rPr>
        <w:t xml:space="preserve">УТВЕРЖДЕНО</w:t>
      </w:r>
    </w:p>
    <w:p>
      <w:pPr>
        <w:spacing w:after="100"/>
        <w:jc w:val="right"/>
      </w:pPr>
      <w:r>
        <w:rPr>
          <w:sz w:val="24"/>
          <w:szCs w:val="24"/>
        </w:rPr>
        <w:t xml:space="preserve">приказом от «__» __________ 20__ г. № ___</w:t>
      </w:r>
    </w:p>
    <w:p>
      <w:pPr>
        <w:pStyle w:val="Heading1"/>
        <w:spacing w:after="160" w:before="120"/>
        <w:jc w:val="center"/>
      </w:pPr>
      <w:r>
        <w:rPr>
          <w:b/>
          <w:bCs/>
          <w:sz w:val="30"/>
          <w:szCs w:val="30"/>
        </w:rPr>
        <w:t xml:space="preserve">Регламент реагирования на инциденты информационной безопасности и утечки персональных данных</w:t>
      </w:r>
    </w:p>
    <w:p>
      <w:pPr>
        <w:pStyle w:val="Heading2"/>
        <w:spacing w:after="100" w:before="240"/>
      </w:pPr>
      <w:r>
        <w:rPr>
          <w:b/>
          <w:bCs/>
          <w:sz w:val="26"/>
          <w:szCs w:val="26"/>
        </w:rPr>
        <w:t xml:space="preserve">1. Общие положения</w:t>
      </w:r>
    </w:p>
    <w:p>
      <w:pPr>
        <w:spacing w:after="100"/>
      </w:pPr>
      <w:r>
        <w:rPr>
          <w:sz w:val="24"/>
          <w:szCs w:val="24"/>
        </w:rPr>
        <w:t xml:space="preserve">1.1. Настоящий Регламент определяет порядок выявления инцидентов информационной безопасности и утечек персональных данных в [полное наименование организации] (далее — Организация), порядок реагирования на них и порядок уведомления Роскомнадзора.</w:t>
      </w:r>
    </w:p>
    <w:p>
      <w:pPr>
        <w:spacing w:after="100"/>
      </w:pPr>
      <w:r>
        <w:rPr>
          <w:sz w:val="24"/>
          <w:szCs w:val="24"/>
        </w:rPr>
        <w:t xml:space="preserve">1.2. Регламент разработан в соответствии с Федеральным законом от 27.07.2006 № 152-ФЗ «О персональных данных» (в частности, ст. 18.1, 19, ч. 3.1 ст. 21 и ст. 22.1).</w:t>
      </w:r>
    </w:p>
    <w:p>
      <w:pPr>
        <w:spacing w:after="100"/>
      </w:pPr>
      <w:r>
        <w:rPr>
          <w:sz w:val="24"/>
          <w:szCs w:val="24"/>
        </w:rPr>
        <w:t xml:space="preserve">1.3. Регламент обязателен для всех работников Организации, имеющих доступ к информационным системам и персональным данным, а также для подрядчиков, обслуживающих ИТ-инфраструктуру.</w:t>
      </w:r>
    </w:p>
    <w:p>
      <w:pPr>
        <w:pStyle w:val="Heading2"/>
        <w:spacing w:after="100" w:before="240"/>
      </w:pPr>
      <w:r>
        <w:rPr>
          <w:b/>
          <w:bCs/>
          <w:sz w:val="26"/>
          <w:szCs w:val="26"/>
        </w:rPr>
        <w:t xml:space="preserve">2. Термины</w:t>
      </w:r>
    </w:p>
    <w:p>
      <w:pPr>
        <w:spacing w:after="100"/>
      </w:pPr>
      <w:r>
        <w:rPr>
          <w:b/>
          <w:bCs/>
          <w:sz w:val="24"/>
          <w:szCs w:val="24"/>
        </w:rPr>
        <w:t xml:space="preserve">Инцидент информационной безопасности</w:t>
      </w:r>
      <w:r>
        <w:rPr>
          <w:sz w:val="24"/>
          <w:szCs w:val="24"/>
        </w:rPr>
        <w:t xml:space="preserve"> — событие или серия событий, которые привели или могут привести к нарушению конфиденциальности, целостности или доступности информации (взлом учётной записи, заражение вредоносным ПО, утрата носителя, подбор паролей, несанкционированное подключение к сети и т. п.).</w:t>
      </w:r>
    </w:p>
    <w:p>
      <w:pPr>
        <w:spacing w:after="100"/>
      </w:pPr>
      <w:r>
        <w:rPr>
          <w:b/>
          <w:bCs/>
          <w:sz w:val="24"/>
          <w:szCs w:val="24"/>
        </w:rPr>
        <w:t xml:space="preserve">Инцидент с персональными данными</w:t>
      </w:r>
      <w:r>
        <w:rPr>
          <w:sz w:val="24"/>
          <w:szCs w:val="24"/>
        </w:rPr>
        <w:t xml:space="preserve"> — неправомерная или случайная передача (предоставление, распространение) персональных данных или доступ к ним, повлёкшие нарушение прав субъектов персональных данных (ч. 3.1 ст. 21 152-ФЗ).</w:t>
      </w:r>
    </w:p>
    <w:p>
      <w:pPr>
        <w:spacing w:after="100"/>
      </w:pPr>
      <w:r>
        <w:rPr>
          <w:b/>
          <w:bCs/>
          <w:sz w:val="24"/>
          <w:szCs w:val="24"/>
        </w:rPr>
        <w:t xml:space="preserve">Момент выявления инцидента</w:t>
      </w:r>
      <w:r>
        <w:rPr>
          <w:sz w:val="24"/>
          <w:szCs w:val="24"/>
        </w:rPr>
        <w:t xml:space="preserve"> — момент, когда Организация (любой её работник или подрядчик) узнала или должна была узнать об инциденте. От него отсчитываются сроки уведомления.</w:t>
      </w:r>
    </w:p>
    <w:p>
      <w:pPr>
        <w:pStyle w:val="Heading2"/>
        <w:spacing w:after="100" w:before="240"/>
      </w:pPr>
      <w:r>
        <w:rPr>
          <w:b/>
          <w:bCs/>
          <w:sz w:val="26"/>
          <w:szCs w:val="26"/>
        </w:rPr>
        <w:t xml:space="preserve">3. Ответственные</w:t>
      </w:r>
    </w:p>
    <w:tbl>
      <w:tblPr>
        <w:tblW w:type="pct" w:w="100%"/>
        <w:tblBorders>
          <w:top w:val="single" w:color="9CA3AF" w:sz="4"/>
          <w:left w:val="single" w:color="9CA3AF" w:sz="4"/>
          <w:bottom w:val="single" w:color="9CA3AF" w:sz="4"/>
          <w:right w:val="single" w:color="9CA3AF" w:sz="4"/>
          <w:insideH w:val="single" w:color="9CA3AF" w:sz="4"/>
          <w:insideV w:val="single" w:color="9CA3AF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24%"/>
            <w:shd w:fill="E0E7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Роль</w:t>
            </w:r>
          </w:p>
        </w:tc>
        <w:tc>
          <w:tcPr>
            <w:tcW w:type="pct" w:w="22%"/>
            <w:shd w:fill="E0E7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ФИО, должность</w:t>
            </w:r>
          </w:p>
        </w:tc>
        <w:tc>
          <w:tcPr>
            <w:tcW w:type="pct" w:w="22%"/>
            <w:shd w:fill="E0E7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Контакты (телефон, e-mail)</w:t>
            </w:r>
          </w:p>
        </w:tc>
        <w:tc>
          <w:tcPr>
            <w:tcW w:type="pct" w:w="32%"/>
            <w:shd w:fill="E0E7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Функции</w:t>
            </w:r>
          </w:p>
        </w:tc>
      </w:tr>
      <w:tr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Ответственный за организацию обработки ПДн</w:t>
            </w:r>
          </w:p>
        </w:tc>
        <w:tc>
          <w:tcPr>
            <w:tcW w:type="pct" w:w="22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[ФИО, должность]</w:t>
            </w:r>
          </w:p>
        </w:tc>
        <w:tc>
          <w:tcPr>
            <w:tcW w:type="pct" w:w="22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[телефон, e-mail]</w:t>
            </w:r>
          </w:p>
        </w:tc>
        <w:tc>
          <w:tcPr>
            <w:tcW w:type="pct" w:w="32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Организует реагирование, принимает решение об уведомлении Роскомнадзора, ведёт журнал инцидентов</w:t>
            </w:r>
          </w:p>
        </w:tc>
      </w:tr>
      <w:tr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Ответственный за техническое реагирование</w:t>
            </w:r>
          </w:p>
        </w:tc>
        <w:tc>
          <w:tcPr>
            <w:tcW w:type="pct" w:w="22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[ФИО, должность или подрядчик]</w:t>
            </w:r>
          </w:p>
        </w:tc>
        <w:tc>
          <w:tcPr>
            <w:tcW w:type="pct" w:w="22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[телефон, e-mail]</w:t>
            </w:r>
          </w:p>
        </w:tc>
        <w:tc>
          <w:tcPr>
            <w:tcW w:type="pct" w:w="32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Локализация, сбор доказательств, восстановление систем</w:t>
            </w:r>
          </w:p>
        </w:tc>
      </w:tr>
      <w:tr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Представитель для взаимодействия с Роскомнадзором</w:t>
            </w:r>
          </w:p>
        </w:tc>
        <w:tc>
          <w:tcPr>
            <w:tcW w:type="pct" w:w="22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[ФИО, должность]</w:t>
            </w:r>
          </w:p>
        </w:tc>
        <w:tc>
          <w:tcPr>
            <w:tcW w:type="pct" w:w="22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[телефон, e-mail]</w:t>
            </w:r>
          </w:p>
        </w:tc>
        <w:tc>
          <w:tcPr>
            <w:tcW w:type="pct" w:w="32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Подаёт уведомления, отвечает на запросы</w:t>
            </w:r>
          </w:p>
        </w:tc>
      </w:tr>
      <w:tr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Руководитель</w:t>
            </w:r>
          </w:p>
        </w:tc>
        <w:tc>
          <w:tcPr>
            <w:tcW w:type="pct" w:w="22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[ФИО]</w:t>
            </w:r>
          </w:p>
        </w:tc>
        <w:tc>
          <w:tcPr>
            <w:tcW w:type="pct" w:w="22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[телефон, e-mail]</w:t>
            </w:r>
          </w:p>
        </w:tc>
        <w:tc>
          <w:tcPr>
            <w:tcW w:type="pct" w:w="32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Утверждает решения, информирует субъектов, принимает решение об обращении в правоохранительные органы</w:t>
            </w:r>
          </w:p>
        </w:tc>
      </w:tr>
      <w:tr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Заместитель (на случай отсутствия)</w:t>
            </w:r>
          </w:p>
        </w:tc>
        <w:tc>
          <w:tcPr>
            <w:tcW w:type="pct" w:w="22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[ФИО, должность]</w:t>
            </w:r>
          </w:p>
        </w:tc>
        <w:tc>
          <w:tcPr>
            <w:tcW w:type="pct" w:w="22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[телефон, e-mail]</w:t>
            </w:r>
          </w:p>
        </w:tc>
        <w:tc>
          <w:tcPr>
            <w:tcW w:type="pct" w:w="32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Замещает любого из перечисленных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6"/>
          <w:szCs w:val="26"/>
        </w:rPr>
        <w:t xml:space="preserve">4. Как выявляются инциденты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4"/>
          <w:szCs w:val="24"/>
        </w:rPr>
        <w:t xml:space="preserve">сообщения работников: о любых признаках инцидента нужно сообщать ответственному немедленно по телефону [номер], не пытаясь «исправить» ситуацию самостоятельно и не удаляя данные;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4"/>
          <w:szCs w:val="24"/>
        </w:rPr>
        <w:t xml:space="preserve">уведомления систем мониторинга: роутера и файрвола, антивируса, датчика «Защитник» (обращения к ловушкам, подбор паролей, сканирование портов, незнакомые устройства в сети) и других средств;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4"/>
          <w:szCs w:val="24"/>
        </w:rPr>
        <w:t xml:space="preserve">обращения субъектов персональных данных, контрагентов, хостинг-провайдера и подрядчиков;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4"/>
          <w:szCs w:val="24"/>
        </w:rPr>
        <w:t xml:space="preserve">запросы и сообщения Роскомнадзора, правоохранительных органов;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4"/>
          <w:szCs w:val="24"/>
        </w:rPr>
        <w:t xml:space="preserve">публикации об утечке данных Организации в открытых источниках.</w:t>
      </w:r>
    </w:p>
    <w:p>
      <w:pPr>
        <w:pStyle w:val="Heading2"/>
        <w:spacing w:after="100" w:before="240"/>
      </w:pPr>
      <w:r>
        <w:rPr>
          <w:b/>
          <w:bCs/>
          <w:sz w:val="26"/>
          <w:szCs w:val="26"/>
        </w:rPr>
        <w:t xml:space="preserve">5. Порядок реагирования</w:t>
      </w:r>
    </w:p>
    <w:tbl>
      <w:tblPr>
        <w:tblW w:type="pct" w:w="100%"/>
        <w:tblBorders>
          <w:top w:val="single" w:color="9CA3AF" w:sz="4"/>
          <w:left w:val="single" w:color="9CA3AF" w:sz="4"/>
          <w:bottom w:val="single" w:color="9CA3AF" w:sz="4"/>
          <w:right w:val="single" w:color="9CA3AF" w:sz="4"/>
          <w:insideH w:val="single" w:color="9CA3AF" w:sz="4"/>
          <w:insideV w:val="single" w:color="9CA3AF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20%"/>
            <w:shd w:fill="E0E7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Этап</w:t>
            </w:r>
          </w:p>
        </w:tc>
        <w:tc>
          <w:tcPr>
            <w:tcW w:type="pct" w:w="17%"/>
            <w:shd w:fill="E0E7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Срок</w:t>
            </w:r>
          </w:p>
        </w:tc>
        <w:tc>
          <w:tcPr>
            <w:tcW w:type="pct" w:w="45%"/>
            <w:shd w:fill="E0E7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Действия</w:t>
            </w:r>
          </w:p>
        </w:tc>
        <w:tc>
          <w:tcPr>
            <w:tcW w:type="pct" w:w="18%"/>
            <w:shd w:fill="E0E7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Кто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1. Регистрация</w:t>
            </w:r>
          </w:p>
        </w:tc>
        <w:tc>
          <w:tcPr>
            <w:tcW w:type="pct" w:w="17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Немедленно</w:t>
            </w:r>
          </w:p>
        </w:tc>
        <w:tc>
          <w:tcPr>
            <w:tcW w:type="pct" w:w="4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Записать в Журнал (Приложение 1) дату и время выявления, кто и как заметил, что наблюдается. Это время — точка отсчёта сроков уведомления.</w:t>
            </w:r>
          </w:p>
        </w:tc>
        <w:tc>
          <w:tcPr>
            <w:tcW w:type="pct" w:w="18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Ответственный за ПДн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2. Первичная оценка</w:t>
            </w:r>
          </w:p>
        </w:tc>
        <w:tc>
          <w:tcPr>
            <w:tcW w:type="pct" w:w="17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До 2 часов</w:t>
            </w:r>
          </w:p>
        </w:tc>
        <w:tc>
          <w:tcPr>
            <w:tcW w:type="pct" w:w="4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Затронуты ли персональные данные? Какие категории, примерное число субъектов? Продолжается ли утечка? Какие системы затронуты?</w:t>
            </w:r>
          </w:p>
        </w:tc>
        <w:tc>
          <w:tcPr>
            <w:tcW w:type="pct" w:w="18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Ответственный за ПДн, ИТ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3. Локализация</w:t>
            </w:r>
          </w:p>
        </w:tc>
        <w:tc>
          <w:tcPr>
            <w:tcW w:type="pct" w:w="17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Сразу после оценки</w:t>
            </w:r>
          </w:p>
        </w:tc>
        <w:tc>
          <w:tcPr>
            <w:tcW w:type="pct" w:w="4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Изолировать устройство или учётную запись, сменить пароли и ключи, закрыть доступ на роутере, отключить скомпрометированный сервис. Сохранить журналы и образы: не удалять и не перезагружать без необходимости.</w:t>
            </w:r>
          </w:p>
        </w:tc>
        <w:tc>
          <w:tcPr>
            <w:tcW w:type="pct" w:w="18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ИТ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4. Решение об уведомлении</w:t>
            </w:r>
          </w:p>
        </w:tc>
        <w:tc>
          <w:tcPr>
            <w:tcW w:type="pct" w:w="17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До 12 часов</w:t>
            </w:r>
          </w:p>
        </w:tc>
        <w:tc>
          <w:tcPr>
            <w:tcW w:type="pct" w:w="4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Если произошла неправомерная или случайная передача данных либо доступ к ним, повлёкшие нарушение прав субъектов, — готовить уведомление (Приложение 2). В сомнительных случаях безопаснее уведомить.</w:t>
            </w:r>
          </w:p>
        </w:tc>
        <w:tc>
          <w:tcPr>
            <w:tcW w:type="pct" w:w="18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Руководитель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5. Первичное уведомление Роскомнадзора</w:t>
            </w:r>
          </w:p>
        </w:tc>
        <w:tc>
          <w:tcPr>
            <w:tcW w:type="pct" w:w="17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Не позднее 24 часов с момента выявления</w:t>
            </w:r>
          </w:p>
        </w:tc>
        <w:tc>
          <w:tcPr>
            <w:tcW w:type="pct" w:w="4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Сведения об инциденте, предполагаемых причинах, предполагаемом вреде, принятых мерах и лице для взаимодействия. Подавать по известным фактам, не дожидаясь полной картины.</w:t>
            </w:r>
          </w:p>
        </w:tc>
        <w:tc>
          <w:tcPr>
            <w:tcW w:type="pct" w:w="18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Представитель для РКН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6. Внутреннее расследование</w:t>
            </w:r>
          </w:p>
        </w:tc>
        <w:tc>
          <w:tcPr>
            <w:tcW w:type="pct" w:w="17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До 72 часов</w:t>
            </w:r>
          </w:p>
        </w:tc>
        <w:tc>
          <w:tcPr>
            <w:tcW w:type="pct" w:w="4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Установить причины, хронологию и масштаб, лиц, чьи действия стали причиной (при наличии), оценить вред.</w:t>
            </w:r>
          </w:p>
        </w:tc>
        <w:tc>
          <w:tcPr>
            <w:tcW w:type="pct" w:w="18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Комиссия, ИТ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7. Дополнительное уведомление</w:t>
            </w:r>
          </w:p>
        </w:tc>
        <w:tc>
          <w:tcPr>
            <w:tcW w:type="pct" w:w="17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Не позднее 72 часов с момента выявления</w:t>
            </w:r>
          </w:p>
        </w:tc>
        <w:tc>
          <w:tcPr>
            <w:tcW w:type="pct" w:w="4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Результаты внутреннего расследования и сведения о лицах, действия которых стали причиной инцидента (при наличии).</w:t>
            </w:r>
          </w:p>
        </w:tc>
        <w:tc>
          <w:tcPr>
            <w:tcW w:type="pct" w:w="18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Представитель для РКН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8. Устранение</w:t>
            </w:r>
          </w:p>
        </w:tc>
        <w:tc>
          <w:tcPr>
            <w:tcW w:type="pct" w:w="17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По плану</w:t>
            </w:r>
          </w:p>
        </w:tc>
        <w:tc>
          <w:tcPr>
            <w:tcW w:type="pct" w:w="4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Закрыть уязвимость, восстановить данные из резервных копий, усилить защиту (многофакторная аутентификация, обновления, ограничение доступа).</w:t>
            </w:r>
          </w:p>
        </w:tc>
        <w:tc>
          <w:tcPr>
            <w:tcW w:type="pct" w:w="18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ИТ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9. Информирование</w:t>
            </w:r>
          </w:p>
        </w:tc>
        <w:tc>
          <w:tcPr>
            <w:tcW w:type="pct" w:w="17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По решению руководителя</w:t>
            </w:r>
          </w:p>
        </w:tc>
        <w:tc>
          <w:tcPr>
            <w:tcW w:type="pct" w:w="4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Сообщить пострадавшим субъектам; при признаках преступления — обратиться в правоохранительные органы. Проверьте, распространяется ли на Организацию обязанность взаимодействия с ГосСОПКА (ч. 12 ст. 19 152-ФЗ), и актуальный порядок такого взаимодействия.</w:t>
            </w:r>
          </w:p>
        </w:tc>
        <w:tc>
          <w:tcPr>
            <w:tcW w:type="pct" w:w="18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Руководитель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10. Закрытие</w:t>
            </w:r>
          </w:p>
        </w:tc>
        <w:tc>
          <w:tcPr>
            <w:tcW w:type="pct" w:w="17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До 14 дней после устранения</w:t>
            </w:r>
          </w:p>
        </w:tc>
        <w:tc>
          <w:tcPr>
            <w:tcW w:type="pct" w:w="4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Итоговый отчёт, корректировка мер защиты и настоящего Регламента, обучение работников.</w:t>
            </w:r>
          </w:p>
        </w:tc>
        <w:tc>
          <w:tcPr>
            <w:tcW w:type="pct" w:w="18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Ответственный за ПДн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6"/>
          <w:szCs w:val="26"/>
        </w:rPr>
        <w:t xml:space="preserve">6. Чего делать нельзя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4"/>
          <w:szCs w:val="24"/>
        </w:rPr>
        <w:t xml:space="preserve">скрывать инцидент или откладывать уведомление «до выяснения всех обстоятельств»;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4"/>
          <w:szCs w:val="24"/>
        </w:rPr>
        <w:t xml:space="preserve">удалять журналы и переустанавливать систему до того, как сохранены доказательства;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4"/>
          <w:szCs w:val="24"/>
        </w:rPr>
        <w:t xml:space="preserve">обсуждать инцидент с посторонними и в открытых чатах до решения руководителя;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4"/>
          <w:szCs w:val="24"/>
        </w:rPr>
        <w:t xml:space="preserve">выполнять требования вымогателей без решения руководителя и консультации со специалистами.</w:t>
      </w:r>
    </w:p>
    <w:p>
      <w:pPr>
        <w:pStyle w:val="Heading2"/>
        <w:spacing w:after="100" w:before="240"/>
      </w:pPr>
      <w:r>
        <w:rPr>
          <w:b/>
          <w:bCs/>
          <w:sz w:val="26"/>
          <w:szCs w:val="26"/>
        </w:rPr>
        <w:t xml:space="preserve">7. Хранение материалов</w:t>
      </w:r>
    </w:p>
    <w:p>
      <w:pPr>
        <w:spacing w:after="100"/>
      </w:pPr>
      <w:r>
        <w:rPr>
          <w:sz w:val="24"/>
          <w:szCs w:val="24"/>
        </w:rPr>
        <w:t xml:space="preserve">Журнал инцидентов, копии уведомлений и подтверждения их отправки, отчёты о расследовании хранятся не менее [3] лет (срок определяет Организация).</w:t>
      </w:r>
    </w:p>
    <w:p>
      <w:pPr>
        <w:pStyle w:val="Heading2"/>
        <w:spacing w:after="100" w:before="240"/>
      </w:pPr>
      <w:r>
        <w:rPr>
          <w:b/>
          <w:bCs/>
          <w:sz w:val="26"/>
          <w:szCs w:val="26"/>
        </w:rPr>
        <w:t xml:space="preserve">8. Проверка готовности</w:t>
      </w:r>
    </w:p>
    <w:p>
      <w:pPr>
        <w:spacing w:after="100"/>
      </w:pPr>
      <w:r>
        <w:rPr>
          <w:sz w:val="24"/>
          <w:szCs w:val="24"/>
        </w:rPr>
        <w:t xml:space="preserve">Не реже одного раза в год проводятся учения: проверяются контакты ответственных, наличие доступов, умение подготовить и подать уведомление. Регламент пересматривается при изменении ИТ-инфраструктуры и состава ответственных.</w:t>
      </w:r>
    </w:p>
    <w:p>
      <w:pPr>
        <w:pageBreakBefore/>
      </w:pPr>
    </w:p>
    <w:p>
      <w:pPr>
        <w:pStyle w:val="Heading2"/>
        <w:spacing w:after="100" w:before="240"/>
      </w:pPr>
      <w:r>
        <w:rPr>
          <w:b/>
          <w:bCs/>
          <w:sz w:val="26"/>
          <w:szCs w:val="26"/>
        </w:rPr>
        <w:t xml:space="preserve">Приложение 1. Журнал учёта инцидентов</w:t>
      </w:r>
    </w:p>
    <w:tbl>
      <w:tblPr>
        <w:tblW w:type="pct" w:w="100%"/>
        <w:tblBorders>
          <w:top w:val="single" w:color="9CA3AF" w:sz="4"/>
          <w:left w:val="single" w:color="9CA3AF" w:sz="4"/>
          <w:bottom w:val="single" w:color="9CA3AF" w:sz="4"/>
          <w:right w:val="single" w:color="9CA3AF" w:sz="4"/>
          <w:insideH w:val="single" w:color="9CA3AF" w:sz="4"/>
          <w:insideV w:val="single" w:color="9CA3AF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4%"/>
            <w:shd w:fill="E0E7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№</w:t>
            </w:r>
          </w:p>
        </w:tc>
        <w:tc>
          <w:tcPr>
            <w:tcW w:type="pct" w:w="12%"/>
            <w:shd w:fill="E0E7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Дата и время выявления</w:t>
            </w:r>
          </w:p>
        </w:tc>
        <w:tc>
          <w:tcPr>
            <w:tcW w:type="pct" w:w="12%"/>
            <w:shd w:fill="E0E7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Кто выявил, источник</w:t>
            </w:r>
          </w:p>
        </w:tc>
        <w:tc>
          <w:tcPr>
            <w:tcW w:type="pct" w:w="16%"/>
            <w:shd w:fill="E0E7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Описание</w:t>
            </w:r>
          </w:p>
        </w:tc>
        <w:tc>
          <w:tcPr>
            <w:tcW w:type="pct" w:w="16%"/>
            <w:shd w:fill="E0E7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Затронуты ПДн (категории, число субъектов)</w:t>
            </w:r>
          </w:p>
        </w:tc>
        <w:tc>
          <w:tcPr>
            <w:tcW w:type="pct" w:w="14%"/>
            <w:shd w:fill="E0E7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Принятые меры</w:t>
            </w:r>
          </w:p>
        </w:tc>
        <w:tc>
          <w:tcPr>
            <w:tcW w:type="pct" w:w="16%"/>
            <w:shd w:fill="E0E7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Уведомление РКН (24 ч / 72 ч, даты)</w:t>
            </w:r>
          </w:p>
        </w:tc>
        <w:tc>
          <w:tcPr>
            <w:tcW w:type="pct" w:w="10%"/>
            <w:shd w:fill="E0E7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Статус</w:t>
            </w:r>
          </w:p>
        </w:tc>
      </w:tr>
      <w:tr>
        <w:tc>
          <w:tcPr>
            <w:tcW w:type="pct" w:w="4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1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pct" w:w="4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1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pct" w:w="4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1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pct" w:w="4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1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pct" w:w="4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1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pct" w:w="4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1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6"/>
          <w:szCs w:val="26"/>
        </w:rPr>
        <w:t xml:space="preserve">Приложение 2. Чек-лист первых 24 часов</w:t>
      </w:r>
    </w:p>
    <w:p>
      <w:pPr>
        <w:spacing w:after="100"/>
      </w:pPr>
      <w:r>
        <w:rPr>
          <w:sz w:val="24"/>
          <w:szCs w:val="24"/>
        </w:rPr>
        <w:t xml:space="preserve">☐  Зафиксировано время выявления и источник сообщения</w:t>
      </w:r>
    </w:p>
    <w:p>
      <w:pPr>
        <w:spacing w:after="100"/>
      </w:pPr>
      <w:r>
        <w:rPr>
          <w:sz w:val="24"/>
          <w:szCs w:val="24"/>
        </w:rPr>
        <w:t xml:space="preserve">☐  Сохранены журналы роутера, серверов и средств защиты (до любых изменений)</w:t>
      </w:r>
    </w:p>
    <w:p>
      <w:pPr>
        <w:spacing w:after="100"/>
      </w:pPr>
      <w:r>
        <w:rPr>
          <w:sz w:val="24"/>
          <w:szCs w:val="24"/>
        </w:rPr>
        <w:t xml:space="preserve">☐  Затронутые устройства и учётные записи изолированы, пароли и ключи заменены</w:t>
      </w:r>
    </w:p>
    <w:p>
      <w:pPr>
        <w:spacing w:after="100"/>
      </w:pPr>
      <w:r>
        <w:rPr>
          <w:sz w:val="24"/>
          <w:szCs w:val="24"/>
        </w:rPr>
        <w:t xml:space="preserve">☐  Оценены категории персональных данных и примерное число субъектов</w:t>
      </w:r>
    </w:p>
    <w:p>
      <w:pPr>
        <w:spacing w:after="100"/>
      </w:pPr>
      <w:r>
        <w:rPr>
          <w:sz w:val="24"/>
          <w:szCs w:val="24"/>
        </w:rPr>
        <w:t xml:space="preserve">☐  Руководитель проинформирован, принято и записано решение об уведомлении (кем и когда)</w:t>
      </w:r>
    </w:p>
    <w:p>
      <w:pPr>
        <w:spacing w:after="100"/>
      </w:pPr>
      <w:r>
        <w:rPr>
          <w:sz w:val="24"/>
          <w:szCs w:val="24"/>
        </w:rPr>
        <w:t xml:space="preserve">☐  Подготовлено первичное уведомление по шаблону</w:t>
      </w:r>
    </w:p>
    <w:p>
      <w:pPr>
        <w:spacing w:after="100"/>
      </w:pPr>
      <w:r>
        <w:rPr>
          <w:sz w:val="24"/>
          <w:szCs w:val="24"/>
        </w:rPr>
        <w:t xml:space="preserve">☐  Уведомление отправлено, подтверждение отправки сохранено</w:t>
      </w:r>
    </w:p>
    <w:p>
      <w:pPr>
        <w:spacing w:after="100"/>
      </w:pPr>
      <w:r>
        <w:rPr>
          <w:sz w:val="24"/>
          <w:szCs w:val="24"/>
        </w:rPr>
        <w:t xml:space="preserve">☐  Назначены срок и ответственный за дополнительное уведомление (72 часа)</w:t>
      </w:r>
    </w:p>
    <w:sectPr>
      <w:footerReference w:type="default" r:id="rId7"/>
      <w:pgSz w:w="11906" w:h="16838" w:orient="portrait"/>
      <w:pgMar w:top="1000" w:right="900" w:bottom="1000" w:left="12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280"/>
        <w:sz w:val="16"/>
        <w:szCs w:val="16"/>
      </w:rPr>
      <w:t xml:space="preserve">Типовой шаблон сервиса ПДн-Сторож (пдн-сторож.рф). Не является юридической консультацией: адаптируйте под вашу организацию.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документа</dc:title>
  <dc:creator>ПДн-Сторож</dc:creator>
  <cp:lastModifiedBy>Un-named</cp:lastModifiedBy>
  <cp:revision>1</cp:revision>
  <dcterms:created xsi:type="dcterms:W3CDTF">2026-10-21T13:31:48.336Z</dcterms:created>
  <dcterms:modified xsi:type="dcterms:W3CDTF">2026-10-21T13:31:48.336Z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